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drawings/drawing3.xml" ContentType="application/vnd.openxmlformats-officedocument.drawingml.chartshap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drawings/drawing2.xml" ContentType="application/vnd.openxmlformats-officedocument.drawingml.chartshapes+xml"/>
  <Override PartName="/word/charts/chart4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886" w:rsidRDefault="00513B53">
      <w:r w:rsidRPr="00513B53">
        <w:rPr>
          <w:noProof/>
          <w:lang w:eastAsia="ru-RU"/>
        </w:rPr>
        <w:drawing>
          <wp:inline distT="0" distB="0" distL="0" distR="0">
            <wp:extent cx="5867400" cy="4371975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513B53" w:rsidRDefault="00513B53"/>
    <w:p w:rsidR="00513B53" w:rsidRDefault="00513B53">
      <w:r w:rsidRPr="00513B53">
        <w:rPr>
          <w:noProof/>
          <w:lang w:eastAsia="ru-RU"/>
        </w:rPr>
        <w:drawing>
          <wp:inline distT="0" distB="0" distL="0" distR="0">
            <wp:extent cx="5905500" cy="38862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13B53" w:rsidRDefault="00513B53"/>
    <w:p w:rsidR="00513B53" w:rsidRDefault="00513B53">
      <w:r w:rsidRPr="00513B53">
        <w:rPr>
          <w:noProof/>
          <w:lang w:eastAsia="ru-RU"/>
        </w:rPr>
        <w:lastRenderedPageBreak/>
        <w:drawing>
          <wp:inline distT="0" distB="0" distL="0" distR="0">
            <wp:extent cx="5940425" cy="3836844"/>
            <wp:effectExtent l="19050" t="0" r="222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6E7018" w:rsidRDefault="006E7018"/>
    <w:p w:rsidR="006E7018" w:rsidRDefault="006E7018">
      <w:r w:rsidRPr="006E7018">
        <w:drawing>
          <wp:inline distT="0" distB="0" distL="0" distR="0">
            <wp:extent cx="5940425" cy="4419600"/>
            <wp:effectExtent l="19050" t="0" r="22225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6E7018" w:rsidSect="00CF6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13B53"/>
    <w:rsid w:val="00513B53"/>
    <w:rsid w:val="006E7018"/>
    <w:rsid w:val="00AC4179"/>
    <w:rsid w:val="00CF6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8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3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3B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Documents%20and%20Settings\&#1040;&#1076;&#1084;&#1080;&#1085;\&#1056;&#1072;&#1073;&#1086;&#1095;&#1080;&#1081;%20&#1089;&#1090;&#1086;&#1083;\&#1052;&#1086;&#1080;%20&#1076;&#1086;&#1082;&#1091;&#1084;&#1077;&#1085;&#1090;&#1099;\&#1044;&#1086;&#1082;&#1091;&#1084;&#1077;&#1085;&#1090;&#1099;%202014%20&#1075;&#1086;&#1076;&#1072;\&#1041;&#1102;&#1076;&#1078;&#1077;&#1090;%20&#1076;&#1083;&#1103;%20&#1085;&#1072;&#1088;&#1086;&#1076;&#1072;\&#1044;&#1080;&#1072;&#1075;&#1088;&#1072;&#1084;&#1084;&#1099;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Documents%20and%20Settings\&#1040;&#1076;&#1084;&#1080;&#1085;\&#1056;&#1072;&#1073;&#1086;&#1095;&#1080;&#1081;%20&#1089;&#1090;&#1086;&#1083;\&#1052;&#1086;&#1080;%20&#1076;&#1086;&#1082;&#1091;&#1084;&#1077;&#1085;&#1090;&#1099;\&#1044;&#1086;&#1082;&#1091;&#1084;&#1077;&#1085;&#1090;&#1099;%202014%20&#1075;&#1086;&#1076;&#1072;\&#1041;&#1102;&#1076;&#1078;&#1077;&#1090;%20&#1076;&#1083;&#1103;%20&#1085;&#1072;&#1088;&#1086;&#1076;&#1072;\&#1044;&#1080;&#1072;&#1075;&#1088;&#1072;&#1084;&#1084;&#1099;.xls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C:\Documents%20and%20Settings\&#1040;&#1076;&#1084;&#1080;&#1085;\&#1056;&#1072;&#1073;&#1086;&#1095;&#1080;&#1081;%20&#1089;&#1090;&#1086;&#1083;\&#1052;&#1086;&#1080;%20&#1076;&#1086;&#1082;&#1091;&#1084;&#1077;&#1085;&#1090;&#1099;\&#1044;&#1086;&#1082;&#1091;&#1084;&#1077;&#1085;&#1090;&#1099;%202014%20&#1075;&#1086;&#1076;&#1072;\&#1041;&#1102;&#1076;&#1078;&#1077;&#1090;%20&#1076;&#1083;&#1103;%20&#1085;&#1072;&#1088;&#1086;&#1076;&#1072;\&#1044;&#1080;&#1072;&#1075;&#1088;&#1072;&#1084;&#1084;&#1099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&#1040;&#1076;&#1084;&#1080;&#1085;\&#1056;&#1072;&#1073;&#1086;&#1095;&#1080;&#1081;%20&#1089;&#1090;&#1086;&#1083;\&#1052;&#1086;&#1080;%20&#1076;&#1086;&#1082;&#1091;&#1084;&#1077;&#1085;&#1090;&#1099;\&#1044;&#1086;&#1082;&#1091;&#1084;&#1077;&#1085;&#1090;&#1099;%202014%20&#1075;&#1086;&#1076;&#1072;\&#1041;&#1102;&#1076;&#1078;&#1077;&#1090;%20&#1076;&#1083;&#1103;%20&#1085;&#1072;&#1088;&#1086;&#1076;&#1072;\&#1044;&#1080;&#1072;&#1075;&#1088;&#1072;&#1084;&#1084;&#1099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>
        <c:manualLayout>
          <c:layoutTarget val="inner"/>
          <c:xMode val="edge"/>
          <c:yMode val="edge"/>
          <c:x val="4.6069979888877517E-2"/>
          <c:y val="0.27165022672819461"/>
          <c:w val="0.71424634420697419"/>
          <c:h val="0.72834977327180606"/>
        </c:manualLayout>
      </c:layout>
      <c:pie3DChart>
        <c:varyColors val="1"/>
        <c:ser>
          <c:idx val="0"/>
          <c:order val="0"/>
          <c:explosion val="25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Лист1!$A$3:$A$14</c:f>
              <c:strCache>
                <c:ptCount val="12"/>
                <c:pt idx="0">
                  <c:v>НДФЛ</c:v>
                </c:pt>
                <c:pt idx="1">
                  <c:v>Акцизы</c:v>
                </c:pt>
                <c:pt idx="2">
                  <c:v>ЕНВД</c:v>
                </c:pt>
                <c:pt idx="3">
                  <c:v>Патент</c:v>
                </c:pt>
                <c:pt idx="4">
                  <c:v>Имущество</c:v>
                </c:pt>
                <c:pt idx="5">
                  <c:v>Земля</c:v>
                </c:pt>
                <c:pt idx="6">
                  <c:v>Госпошлина</c:v>
                </c:pt>
                <c:pt idx="7">
                  <c:v>Аренда</c:v>
                </c:pt>
                <c:pt idx="8">
                  <c:v>Негативка</c:v>
                </c:pt>
                <c:pt idx="9">
                  <c:v>Платные услуги</c:v>
                </c:pt>
                <c:pt idx="10">
                  <c:v>Продажа</c:v>
                </c:pt>
                <c:pt idx="11">
                  <c:v>Штрафы</c:v>
                </c:pt>
              </c:strCache>
            </c:strRef>
          </c:cat>
          <c:val>
            <c:numRef>
              <c:f>Лист1!$B$3:$B$14</c:f>
              <c:numCache>
                <c:formatCode>0.00%</c:formatCode>
                <c:ptCount val="12"/>
                <c:pt idx="0">
                  <c:v>0.40200000000000002</c:v>
                </c:pt>
                <c:pt idx="1">
                  <c:v>0.13300000000000001</c:v>
                </c:pt>
                <c:pt idx="2">
                  <c:v>0.11899999999999998</c:v>
                </c:pt>
                <c:pt idx="3">
                  <c:v>3.0000000000000018E-3</c:v>
                </c:pt>
                <c:pt idx="4">
                  <c:v>1.2000000000000004E-2</c:v>
                </c:pt>
                <c:pt idx="5">
                  <c:v>0.11200000000000002</c:v>
                </c:pt>
                <c:pt idx="6">
                  <c:v>1.2000000000000004E-2</c:v>
                </c:pt>
                <c:pt idx="7">
                  <c:v>3.8000000000000006E-2</c:v>
                </c:pt>
                <c:pt idx="8">
                  <c:v>1.0999999999999998E-2</c:v>
                </c:pt>
                <c:pt idx="9">
                  <c:v>0.125</c:v>
                </c:pt>
                <c:pt idx="10">
                  <c:v>5.0000000000000027E-3</c:v>
                </c:pt>
                <c:pt idx="11">
                  <c:v>2.8000000000000004E-2</c:v>
                </c:pt>
              </c:numCache>
            </c:numRef>
          </c:val>
        </c:ser>
      </c:pie3DChart>
      <c:spPr>
        <a:noFill/>
        <a:ln w="25400">
          <a:noFill/>
        </a:ln>
      </c:spPr>
    </c:plotArea>
    <c:legend>
      <c:legendPos val="r"/>
    </c:legend>
    <c:plotVisOnly val="1"/>
    <c:dispBlanksAs val="zero"/>
  </c:chart>
  <c:externalData r:id="rId1"/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>
        <c:manualLayout>
          <c:layoutTarget val="inner"/>
          <c:xMode val="edge"/>
          <c:yMode val="edge"/>
          <c:x val="7.4133096266192536E-2"/>
          <c:y val="0.22835362652839128"/>
          <c:w val="0.55184235035136742"/>
          <c:h val="0.67337404775622567"/>
        </c:manualLayout>
      </c:layout>
      <c:pie3DChart>
        <c:varyColors val="1"/>
        <c:ser>
          <c:idx val="0"/>
          <c:order val="0"/>
          <c:dLbls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Лист2!$A$3:$A$14</c:f>
              <c:strCache>
                <c:ptCount val="10"/>
                <c:pt idx="0">
                  <c:v>НДФЛ- 12758,9 т.р.</c:v>
                </c:pt>
                <c:pt idx="1">
                  <c:v>Акцизы-187,4 т.р.</c:v>
                </c:pt>
                <c:pt idx="2">
                  <c:v>ЕНВД- 7580,0 т.р.</c:v>
                </c:pt>
                <c:pt idx="3">
                  <c:v>Патент- 170,0 т.р.</c:v>
                </c:pt>
                <c:pt idx="4">
                  <c:v>Госпошлина- 735,0 т.р.</c:v>
                </c:pt>
                <c:pt idx="5">
                  <c:v>Аренда- 456,9 т.р.</c:v>
                </c:pt>
                <c:pt idx="6">
                  <c:v>Негативка -707,0 т.р.</c:v>
                </c:pt>
                <c:pt idx="7">
                  <c:v>Платные услуги- 7877,2 т.р.</c:v>
                </c:pt>
                <c:pt idx="8">
                  <c:v>Продажа- 114,0 т.р.</c:v>
                </c:pt>
                <c:pt idx="9">
                  <c:v>Штрафы- 1814,4 т.р.</c:v>
                </c:pt>
              </c:strCache>
            </c:strRef>
          </c:cat>
          <c:val>
            <c:numRef>
              <c:f>Лист2!$B$3:$B$14</c:f>
              <c:numCache>
                <c:formatCode>0.0%</c:formatCode>
                <c:ptCount val="10"/>
                <c:pt idx="0">
                  <c:v>0.39400000000000024</c:v>
                </c:pt>
                <c:pt idx="1">
                  <c:v>6.0000000000000027E-3</c:v>
                </c:pt>
                <c:pt idx="2">
                  <c:v>0.23400000000000001</c:v>
                </c:pt>
                <c:pt idx="3">
                  <c:v>5.0000000000000027E-3</c:v>
                </c:pt>
                <c:pt idx="4">
                  <c:v>2.3E-2</c:v>
                </c:pt>
                <c:pt idx="5">
                  <c:v>1.4E-2</c:v>
                </c:pt>
                <c:pt idx="6">
                  <c:v>2.1999999999999999E-2</c:v>
                </c:pt>
                <c:pt idx="7">
                  <c:v>0.24300000000000008</c:v>
                </c:pt>
                <c:pt idx="8">
                  <c:v>3.0000000000000014E-3</c:v>
                </c:pt>
                <c:pt idx="9">
                  <c:v>5.6000000000000001E-2</c:v>
                </c:pt>
              </c:numCache>
            </c:numRef>
          </c:val>
        </c:ser>
      </c:pie3D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3236660739988224"/>
          <c:y val="0.24485821625238038"/>
          <c:w val="0.23537532808398937"/>
          <c:h val="0.72193608151922151"/>
        </c:manualLayout>
      </c:layout>
    </c:legend>
    <c:plotVisOnly val="1"/>
    <c:dispBlanksAs val="zero"/>
  </c:chart>
  <c:externalData r:id="rId1"/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>
        <c:manualLayout>
          <c:layoutTarget val="inner"/>
          <c:xMode val="edge"/>
          <c:yMode val="edge"/>
          <c:x val="6.8313638572956192E-2"/>
          <c:y val="0.23371865001548156"/>
          <c:w val="0.59994966690093721"/>
          <c:h val="0.76628134998451869"/>
        </c:manualLayout>
      </c:layout>
      <c:pie3DChart>
        <c:varyColors val="1"/>
        <c:ser>
          <c:idx val="0"/>
          <c:order val="0"/>
          <c:dLbls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Лист3!$A$4:$A$10</c:f>
              <c:strCache>
                <c:ptCount val="7"/>
                <c:pt idx="0">
                  <c:v>НДФЛ- 8597,8 т.р.</c:v>
                </c:pt>
                <c:pt idx="1">
                  <c:v>Акцизы- 2595,6 т.р.</c:v>
                </c:pt>
                <c:pt idx="2">
                  <c:v>Имущество- 430,0 т.р.</c:v>
                </c:pt>
                <c:pt idx="3">
                  <c:v>Земля- 4494,4 т.р.</c:v>
                </c:pt>
                <c:pt idx="4">
                  <c:v>Аренда-1271,5 т.р.</c:v>
                </c:pt>
                <c:pt idx="5">
                  <c:v>Платные услуги- 30,0 т.р.</c:v>
                </c:pt>
                <c:pt idx="6">
                  <c:v>Продажа- 54,0 т.р.</c:v>
                </c:pt>
              </c:strCache>
            </c:strRef>
          </c:cat>
          <c:val>
            <c:numRef>
              <c:f>Лист3!$B$4:$B$10</c:f>
              <c:numCache>
                <c:formatCode>0.0%</c:formatCode>
                <c:ptCount val="7"/>
                <c:pt idx="0">
                  <c:v>0.49200000000000021</c:v>
                </c:pt>
                <c:pt idx="1">
                  <c:v>0.14800000000000008</c:v>
                </c:pt>
                <c:pt idx="2">
                  <c:v>2.5000000000000001E-2</c:v>
                </c:pt>
                <c:pt idx="3">
                  <c:v>0.25700000000000001</c:v>
                </c:pt>
                <c:pt idx="4">
                  <c:v>7.3000000000000009E-2</c:v>
                </c:pt>
                <c:pt idx="5">
                  <c:v>2.0000000000000013E-3</c:v>
                </c:pt>
                <c:pt idx="6">
                  <c:v>3.0000000000000014E-3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9400587148828718"/>
          <c:y val="0.31256816021771838"/>
          <c:w val="0.27271483100956601"/>
          <c:h val="0.5094202868887493"/>
        </c:manualLayout>
      </c:layout>
    </c:legend>
    <c:plotVisOnly val="1"/>
  </c:chart>
  <c:externalData r:id="rId1"/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Структура доходов консолидированного бюджета МО "Карсунский район" на 2014 год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Лист1!$A$35:$A$39</c:f>
              <c:strCache>
                <c:ptCount val="5"/>
                <c:pt idx="0">
                  <c:v>Налоговые и неналоговые доходы- 63494,9 т.р.</c:v>
                </c:pt>
                <c:pt idx="1">
                  <c:v>Дотации- 58983,7 т.р.</c:v>
                </c:pt>
                <c:pt idx="2">
                  <c:v>Субсидии- 60524,6 т.р.</c:v>
                </c:pt>
                <c:pt idx="3">
                  <c:v>Субвенции- 134670,8 т.р.</c:v>
                </c:pt>
                <c:pt idx="4">
                  <c:v>Иные межбюджетные трансферты- 147,2 т.р.</c:v>
                </c:pt>
              </c:strCache>
            </c:strRef>
          </c:cat>
          <c:val>
            <c:numRef>
              <c:f>Лист1!$B$35:$B$39</c:f>
              <c:numCache>
                <c:formatCode>General</c:formatCode>
                <c:ptCount val="5"/>
                <c:pt idx="0">
                  <c:v>63494.9</c:v>
                </c:pt>
                <c:pt idx="1">
                  <c:v>58983.7</c:v>
                </c:pt>
                <c:pt idx="2">
                  <c:v>60524.6</c:v>
                </c:pt>
                <c:pt idx="3">
                  <c:v>134670.79999999999</c:v>
                </c:pt>
                <c:pt idx="4">
                  <c:v>147.19999999999999</c:v>
                </c:pt>
              </c:numCache>
            </c:numRef>
          </c:val>
        </c:ser>
        <c:dLbls>
          <c:showPercent val="1"/>
        </c:dLbls>
      </c:pie3DChart>
    </c:plotArea>
    <c:legend>
      <c:legendPos val="t"/>
      <c:txPr>
        <a:bodyPr/>
        <a:lstStyle/>
        <a:p>
          <a:pPr>
            <a:defRPr sz="1100"/>
          </a:pPr>
          <a:endParaRPr lang="ru-RU"/>
        </a:p>
      </c:txPr>
    </c:legend>
    <c:plotVisOnly val="1"/>
  </c:chart>
  <c:externalData r:id="rId1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0.19156</cdr:x>
      <cdr:y>0.05229</cdr:y>
    </cdr:from>
    <cdr:to>
      <cdr:x>0.73052</cdr:x>
      <cdr:y>0.21787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123950" y="228601"/>
          <a:ext cx="3162300" cy="7239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0.18019</cdr:x>
      <cdr:y>0.01743</cdr:y>
    </cdr:from>
    <cdr:to>
      <cdr:x>0.80195</cdr:x>
      <cdr:y>0.20479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057247" y="76200"/>
          <a:ext cx="3648103" cy="81913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ru-RU" sz="1400" b="1"/>
            <a:t>Структура</a:t>
          </a:r>
          <a:r>
            <a:rPr lang="ru-RU" sz="1400" b="1" baseline="0"/>
            <a:t> налоговых и неналоговых доходов </a:t>
          </a:r>
        </a:p>
        <a:p xmlns:a="http://schemas.openxmlformats.org/drawingml/2006/main">
          <a:pPr algn="ctr"/>
          <a:r>
            <a:rPr lang="ru-RU" sz="1400" b="1" baseline="0"/>
            <a:t>консолидированного бюджета</a:t>
          </a:r>
        </a:p>
        <a:p xmlns:a="http://schemas.openxmlformats.org/drawingml/2006/main">
          <a:pPr algn="ctr"/>
          <a:r>
            <a:rPr lang="ru-RU" sz="1400" b="1" baseline="0"/>
            <a:t>МО  "Карсунский район" на 2014 год</a:t>
          </a:r>
          <a:endParaRPr lang="ru-RU" sz="1400" b="1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0.16774</cdr:x>
      <cdr:y>0.06618</cdr:y>
    </cdr:from>
    <cdr:to>
      <cdr:x>0.86774</cdr:x>
      <cdr:y>0.22304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990589" y="257175"/>
          <a:ext cx="4133850" cy="60960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ru-RU" sz="1400" b="1" i="1"/>
            <a:t>Структура налоговых и неналоговых доходов в бюджет</a:t>
          </a:r>
        </a:p>
        <a:p xmlns:a="http://schemas.openxmlformats.org/drawingml/2006/main">
          <a:pPr algn="ctr"/>
          <a:r>
            <a:rPr lang="ru-RU" sz="1400" b="1" i="1"/>
            <a:t>МО "Карсунский район" на 2014 год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0.16</cdr:x>
      <cdr:y>0.08716</cdr:y>
    </cdr:from>
    <cdr:to>
      <cdr:x>0.90667</cdr:x>
      <cdr:y>0.23853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028701" y="361950"/>
          <a:ext cx="4800600" cy="6286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ru-RU" sz="1400" b="1" i="1"/>
            <a:t>Структура налоговых и неналоговых доходов бюджета</a:t>
          </a:r>
        </a:p>
        <a:p xmlns:a="http://schemas.openxmlformats.org/drawingml/2006/main">
          <a:pPr algn="ctr"/>
          <a:r>
            <a:rPr lang="ru-RU" sz="1400" b="1" i="1"/>
            <a:t>МО Карсунское городское поселение на 2014 год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10</Characters>
  <Application>Microsoft Office Word</Application>
  <DocSecurity>0</DocSecurity>
  <Lines>1</Lines>
  <Paragraphs>1</Paragraphs>
  <ScaleCrop>false</ScaleCrop>
  <Company>Home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3</cp:revision>
  <dcterms:created xsi:type="dcterms:W3CDTF">2014-02-18T10:16:00Z</dcterms:created>
  <dcterms:modified xsi:type="dcterms:W3CDTF">2014-02-18T10:53:00Z</dcterms:modified>
</cp:coreProperties>
</file>