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Стандарты раскрытия информации в сфере холодного водоснабжения п</w:t>
      </w:r>
      <w:proofErr w:type="gramStart"/>
      <w:r>
        <w:rPr>
          <w:b/>
          <w:color w:val="000000"/>
          <w:sz w:val="22"/>
          <w:szCs w:val="22"/>
        </w:rPr>
        <w:t>о ООО</w:t>
      </w:r>
      <w:proofErr w:type="gramEnd"/>
      <w:r>
        <w:rPr>
          <w:b/>
          <w:color w:val="000000"/>
          <w:sz w:val="22"/>
          <w:szCs w:val="22"/>
        </w:rPr>
        <w:t xml:space="preserve"> «Диана» Горенского сельского поселения за 4квартал 2018 года</w:t>
      </w:r>
    </w:p>
    <w:tbl>
      <w:tblPr>
        <w:tblW w:w="1562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20"/>
        <w:gridCol w:w="20"/>
        <w:gridCol w:w="5300"/>
        <w:gridCol w:w="20"/>
        <w:gridCol w:w="1325"/>
        <w:gridCol w:w="1267"/>
        <w:gridCol w:w="360"/>
        <w:gridCol w:w="988"/>
        <w:gridCol w:w="55"/>
        <w:gridCol w:w="1432"/>
        <w:gridCol w:w="680"/>
        <w:gridCol w:w="807"/>
        <w:gridCol w:w="1124"/>
        <w:gridCol w:w="496"/>
        <w:gridCol w:w="900"/>
        <w:gridCol w:w="128"/>
      </w:tblGrid>
      <w:tr>
        <w:trPr>
          <w:gridAfter w:val="1"/>
          <w:wAfter w:w="128" w:type="dxa"/>
          <w:trHeight w:val="615"/>
        </w:trPr>
        <w:tc>
          <w:tcPr>
            <w:tcW w:w="15494" w:type="dxa"/>
            <w:gridSpan w:val="15"/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</w:p>
        </w:tc>
      </w:tr>
      <w:tr>
        <w:trPr>
          <w:gridAfter w:val="1"/>
          <w:wAfter w:w="128" w:type="dxa"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pacing w:val="-10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10"/>
              </w:rPr>
              <w:t>/п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Наименование показателя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Единица измерения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Значение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Дата ввода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Срок действия (если установлен)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Постановление (дата, номер)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ind w:hanging="468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Наименование регулирующего органа, принявшего решение об утверждении цен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Где опубликовано</w:t>
            </w:r>
          </w:p>
        </w:tc>
      </w:tr>
      <w:tr>
        <w:trPr>
          <w:gridAfter w:val="1"/>
          <w:wAfter w:w="128" w:type="dxa"/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1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4</w:t>
            </w:r>
          </w:p>
        </w:tc>
        <w:tc>
          <w:tcPr>
            <w:tcW w:w="13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5</w:t>
            </w:r>
          </w:p>
        </w:tc>
        <w:tc>
          <w:tcPr>
            <w:tcW w:w="14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6</w:t>
            </w:r>
          </w:p>
        </w:tc>
        <w:tc>
          <w:tcPr>
            <w:tcW w:w="14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7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9</w:t>
            </w:r>
          </w:p>
        </w:tc>
      </w:tr>
      <w:tr>
        <w:trPr>
          <w:gridAfter w:val="1"/>
          <w:wAfter w:w="128" w:type="dxa"/>
          <w:trHeight w:val="2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1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Утвержденные тарифы на холодную воду, в том числе: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>
        <w:trPr>
          <w:gridAfter w:val="1"/>
          <w:wAfter w:w="128" w:type="dxa"/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31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Население: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>
        <w:trPr>
          <w:gridAfter w:val="1"/>
          <w:wAfter w:w="128" w:type="dxa"/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200" w:firstLine="460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одноставочный</w:t>
            </w:r>
            <w:proofErr w:type="spellEnd"/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руб./куб. 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39,49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01.07..2018г.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31.12.2018г.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№06-458 от 24.11.2015г.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Министерство экономики Ульяновской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 Газета </w:t>
            </w:r>
            <w:proofErr w:type="gramStart"/>
            <w:r>
              <w:rPr>
                <w:color w:val="000000"/>
                <w:spacing w:val="-10"/>
              </w:rPr>
              <w:t>Ульяновская</w:t>
            </w:r>
            <w:proofErr w:type="gramEnd"/>
            <w:r>
              <w:rPr>
                <w:color w:val="000000"/>
                <w:spacing w:val="-10"/>
              </w:rPr>
              <w:t xml:space="preserve"> правда</w:t>
            </w:r>
          </w:p>
        </w:tc>
      </w:tr>
      <w:tr>
        <w:trPr>
          <w:gridAfter w:val="1"/>
          <w:wAfter w:w="128" w:type="dxa"/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200" w:firstLine="460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двухставочный</w:t>
            </w:r>
            <w:proofErr w:type="spellEnd"/>
            <w:r>
              <w:rPr>
                <w:color w:val="000000"/>
                <w:spacing w:val="-10"/>
              </w:rPr>
              <w:t>: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>
        <w:trPr>
          <w:gridAfter w:val="1"/>
          <w:wAfter w:w="128" w:type="dxa"/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300" w:firstLine="69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ставка платы за потребление холодной воды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руб./куб. 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>
        <w:trPr>
          <w:gridAfter w:val="1"/>
          <w:wAfter w:w="128" w:type="dxa"/>
          <w:trHeight w:val="4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300" w:firstLine="69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ставка платы за содержание системы холодного водоснабжения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тыс. руб. в месяц/ куб. м/</w:t>
            </w:r>
            <w:proofErr w:type="gramStart"/>
            <w:r>
              <w:rPr>
                <w:color w:val="000000"/>
                <w:spacing w:val="-10"/>
              </w:rPr>
              <w:t>ч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>
        <w:trPr>
          <w:gridAfter w:val="1"/>
          <w:wAfter w:w="128" w:type="dxa"/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31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Бюджетные потребители: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>
        <w:trPr>
          <w:gridAfter w:val="1"/>
          <w:wAfter w:w="128" w:type="dxa"/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200" w:firstLine="460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одноставочный</w:t>
            </w:r>
            <w:proofErr w:type="spellEnd"/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руб./куб. 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39,49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01.07.2018г.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31.12.2018г.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№06-458 от24.11.2015г.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Министерство экономики Ульяновской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 Газета </w:t>
            </w:r>
            <w:proofErr w:type="gramStart"/>
            <w:r>
              <w:rPr>
                <w:color w:val="000000"/>
                <w:spacing w:val="-10"/>
              </w:rPr>
              <w:t>Ульяновская</w:t>
            </w:r>
            <w:proofErr w:type="gramEnd"/>
            <w:r>
              <w:rPr>
                <w:color w:val="000000"/>
                <w:spacing w:val="-10"/>
              </w:rPr>
              <w:t xml:space="preserve"> правда</w:t>
            </w:r>
          </w:p>
        </w:tc>
      </w:tr>
      <w:tr>
        <w:trPr>
          <w:gridAfter w:val="1"/>
          <w:wAfter w:w="128" w:type="dxa"/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200" w:firstLine="460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двухставочный</w:t>
            </w:r>
            <w:proofErr w:type="spellEnd"/>
            <w:r>
              <w:rPr>
                <w:color w:val="000000"/>
                <w:spacing w:val="-10"/>
              </w:rPr>
              <w:t>: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>
        <w:trPr>
          <w:gridAfter w:val="1"/>
          <w:wAfter w:w="128" w:type="dxa"/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300" w:firstLine="69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ставка платы за потребление холодной воды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руб./куб. 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>
        <w:trPr>
          <w:gridAfter w:val="1"/>
          <w:wAfter w:w="128" w:type="dxa"/>
          <w:trHeight w:val="1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300" w:firstLine="69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ставка платы за содержание системы холодного водоснабжения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тыс. руб. в месяц/ куб. м/</w:t>
            </w:r>
            <w:proofErr w:type="gramStart"/>
            <w:r>
              <w:rPr>
                <w:color w:val="000000"/>
                <w:spacing w:val="-10"/>
              </w:rPr>
              <w:t>ч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>
        <w:trPr>
          <w:gridAfter w:val="1"/>
          <w:wAfter w:w="128" w:type="dxa"/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31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Прочие потребители: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>
        <w:trPr>
          <w:gridAfter w:val="1"/>
          <w:wAfter w:w="128" w:type="dxa"/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200" w:firstLine="460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одноставочный</w:t>
            </w:r>
            <w:proofErr w:type="spellEnd"/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руб./куб. 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39,49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01.07.2018г.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31.12.2018г.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№06-455. </w:t>
            </w:r>
          </w:p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От 24.11.2015г.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Министерство экономики Ульяновской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 Газета </w:t>
            </w:r>
            <w:proofErr w:type="gramStart"/>
            <w:r>
              <w:rPr>
                <w:color w:val="000000"/>
                <w:spacing w:val="-10"/>
              </w:rPr>
              <w:t>Ульяновская</w:t>
            </w:r>
            <w:proofErr w:type="gramEnd"/>
            <w:r>
              <w:rPr>
                <w:color w:val="000000"/>
                <w:spacing w:val="-10"/>
              </w:rPr>
              <w:t xml:space="preserve"> правда</w:t>
            </w:r>
          </w:p>
        </w:tc>
      </w:tr>
      <w:tr>
        <w:trPr>
          <w:gridAfter w:val="1"/>
          <w:wAfter w:w="128" w:type="dxa"/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200" w:firstLine="460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двухставочный</w:t>
            </w:r>
            <w:proofErr w:type="spellEnd"/>
            <w:r>
              <w:rPr>
                <w:color w:val="000000"/>
                <w:spacing w:val="-10"/>
              </w:rPr>
              <w:t>: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>
        <w:trPr>
          <w:gridAfter w:val="1"/>
          <w:wAfter w:w="128" w:type="dxa"/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300" w:firstLine="69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ставка платы за потребление холодной воды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руб./куб. 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>
        <w:trPr>
          <w:gridAfter w:val="1"/>
          <w:wAfter w:w="128" w:type="dxa"/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300" w:firstLine="69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ставка платы за содержание системы холодного водоснабжения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тыс. руб. в месяц/ куб. </w:t>
            </w:r>
            <w:r>
              <w:rPr>
                <w:color w:val="000000"/>
                <w:spacing w:val="-10"/>
              </w:rPr>
              <w:lastRenderedPageBreak/>
              <w:t>м/</w:t>
            </w:r>
            <w:proofErr w:type="gramStart"/>
            <w:r>
              <w:rPr>
                <w:color w:val="000000"/>
                <w:spacing w:val="-10"/>
              </w:rPr>
              <w:t>ч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lastRenderedPageBreak/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>
        <w:trPr>
          <w:gridAfter w:val="1"/>
          <w:wAfter w:w="128" w:type="dxa"/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lastRenderedPageBreak/>
              <w:t>2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Утвержденная надбавка к ценам (тарифам) на холодную воду для потребителей, в том числе: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руб./куб. 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>
        <w:trPr>
          <w:gridAfter w:val="1"/>
          <w:wAfter w:w="128" w:type="dxa"/>
          <w:trHeight w:val="1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3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Утвержденная надбавка к ценам (тарифам) на холодную воду для населения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руб./куб. 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>
        <w:trPr>
          <w:gridAfter w:val="1"/>
          <w:wAfter w:w="128" w:type="dxa"/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3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Утвержденная надбавка к ценам (тарифам) на холодную воду для бюджетных потребителей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руб./куб. 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>
        <w:trPr>
          <w:gridAfter w:val="1"/>
          <w:wAfter w:w="128" w:type="dxa"/>
          <w:trHeight w:val="8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3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Утвержденная надбавка к ценам (тарифам) на холодную воду для прочих потребителей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руб./куб. 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>
        <w:trPr>
          <w:gridAfter w:val="1"/>
          <w:wAfter w:w="128" w:type="dxa"/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Утвержденная надбавка к тарифам регулируемых организаций на холодную воду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руб./куб. 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128" w:type="dxa"/>
          <w:trHeight w:val="1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Утвержденный тариф на подключение создаваемых (реконструируемых) объектов недвижимости к системе холодного водоснабжения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руб./куб. м/час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128" w:type="dxa"/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Утвержденный тариф регулируемых организаций на подключение к системе холодного водоснабжения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руб./куб. м/час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>
        <w:trPr>
          <w:gridAfter w:val="7"/>
          <w:wAfter w:w="5567" w:type="dxa"/>
          <w:trHeight w:val="720"/>
        </w:trPr>
        <w:tc>
          <w:tcPr>
            <w:tcW w:w="10055" w:type="dxa"/>
            <w:gridSpan w:val="9"/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</w:t>
            </w:r>
          </w:p>
        </w:tc>
      </w:tr>
      <w:tr>
        <w:trPr>
          <w:gridAfter w:val="7"/>
          <w:wAfter w:w="5567" w:type="dxa"/>
          <w:trHeight w:val="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/п</w:t>
            </w:r>
          </w:p>
        </w:tc>
        <w:tc>
          <w:tcPr>
            <w:tcW w:w="5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1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Значение</w:t>
            </w:r>
          </w:p>
        </w:tc>
      </w:tr>
      <w:tr>
        <w:trPr>
          <w:gridAfter w:val="7"/>
          <w:wAfter w:w="5567" w:type="dxa"/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40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3</w:t>
            </w:r>
          </w:p>
        </w:tc>
      </w:tr>
      <w:tr>
        <w:trPr>
          <w:gridAfter w:val="7"/>
          <w:wAfter w:w="5567" w:type="dxa"/>
          <w:trHeight w:val="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количество аварий на системах холодного водоснабжения (единиц на 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км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)</w:t>
            </w:r>
          </w:p>
        </w:tc>
        <w:tc>
          <w:tcPr>
            <w:tcW w:w="401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0,04</w:t>
            </w:r>
          </w:p>
        </w:tc>
      </w:tr>
      <w:tr>
        <w:trPr>
          <w:gridAfter w:val="7"/>
          <w:wAfter w:w="5567" w:type="dxa"/>
          <w:trHeight w:val="34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количество случаев подачи холодной воды по графику (менее 24 часов в сутки)</w:t>
            </w:r>
          </w:p>
        </w:tc>
        <w:tc>
          <w:tcPr>
            <w:tcW w:w="401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>
        <w:trPr>
          <w:gridAfter w:val="7"/>
          <w:wAfter w:w="5567" w:type="dxa"/>
          <w:trHeight w:val="28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2.1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401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>
        <w:trPr>
          <w:gridAfter w:val="7"/>
          <w:wAfter w:w="5567" w:type="dxa"/>
          <w:trHeight w:val="24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общее количество проведенных проб по следующим показателям:</w:t>
            </w:r>
          </w:p>
        </w:tc>
        <w:tc>
          <w:tcPr>
            <w:tcW w:w="401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</w:tr>
      <w:tr>
        <w:trPr>
          <w:gridAfter w:val="7"/>
          <w:wAfter w:w="5567" w:type="dxa"/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3.1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мутность</w:t>
            </w:r>
          </w:p>
        </w:tc>
        <w:tc>
          <w:tcPr>
            <w:tcW w:w="401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1</w:t>
            </w:r>
          </w:p>
        </w:tc>
      </w:tr>
      <w:tr>
        <w:trPr>
          <w:gridAfter w:val="7"/>
          <w:wAfter w:w="5567" w:type="dxa"/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3.2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цветность</w:t>
            </w:r>
          </w:p>
        </w:tc>
        <w:tc>
          <w:tcPr>
            <w:tcW w:w="401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1</w:t>
            </w:r>
          </w:p>
        </w:tc>
      </w:tr>
      <w:tr>
        <w:trPr>
          <w:gridAfter w:val="7"/>
          <w:wAfter w:w="5567" w:type="dxa"/>
          <w:trHeight w:val="12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3.3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401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1</w:t>
            </w:r>
          </w:p>
        </w:tc>
      </w:tr>
      <w:tr>
        <w:trPr>
          <w:gridAfter w:val="7"/>
          <w:wAfter w:w="5567" w:type="dxa"/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3.4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общие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колиформные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 xml:space="preserve"> бактерии</w:t>
            </w:r>
          </w:p>
        </w:tc>
        <w:tc>
          <w:tcPr>
            <w:tcW w:w="401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1</w:t>
            </w:r>
          </w:p>
        </w:tc>
      </w:tr>
      <w:tr>
        <w:trPr>
          <w:gridAfter w:val="7"/>
          <w:wAfter w:w="5567" w:type="dxa"/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3.5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термотолерантные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колиформные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 xml:space="preserve"> бактерии</w:t>
            </w:r>
          </w:p>
        </w:tc>
        <w:tc>
          <w:tcPr>
            <w:tcW w:w="401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1</w:t>
            </w:r>
          </w:p>
        </w:tc>
      </w:tr>
      <w:tr>
        <w:trPr>
          <w:gridAfter w:val="7"/>
          <w:wAfter w:w="5567" w:type="dxa"/>
          <w:trHeight w:val="6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401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>
        <w:trPr>
          <w:gridAfter w:val="7"/>
          <w:wAfter w:w="5567" w:type="dxa"/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4.1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мутность</w:t>
            </w:r>
          </w:p>
        </w:tc>
        <w:tc>
          <w:tcPr>
            <w:tcW w:w="401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>
        <w:trPr>
          <w:gridAfter w:val="7"/>
          <w:wAfter w:w="5567" w:type="dxa"/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4.2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цветность</w:t>
            </w:r>
          </w:p>
        </w:tc>
        <w:tc>
          <w:tcPr>
            <w:tcW w:w="401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>
        <w:trPr>
          <w:gridAfter w:val="7"/>
          <w:wAfter w:w="5567" w:type="dxa"/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4.3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хлор остаточный связанный и хлор остаточный свободный</w:t>
            </w:r>
          </w:p>
        </w:tc>
        <w:tc>
          <w:tcPr>
            <w:tcW w:w="401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>
        <w:trPr>
          <w:gridAfter w:val="7"/>
          <w:wAfter w:w="5567" w:type="dxa"/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4.4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общие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колиформные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 xml:space="preserve"> бактерии</w:t>
            </w:r>
          </w:p>
        </w:tc>
        <w:tc>
          <w:tcPr>
            <w:tcW w:w="401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>
        <w:trPr>
          <w:gridAfter w:val="7"/>
          <w:wAfter w:w="5567" w:type="dxa"/>
          <w:trHeight w:val="7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4.5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термотолерантные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колиформные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 xml:space="preserve"> бактерии</w:t>
            </w:r>
          </w:p>
        </w:tc>
        <w:tc>
          <w:tcPr>
            <w:tcW w:w="401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>
        <w:trPr>
          <w:trHeight w:val="615"/>
        </w:trPr>
        <w:tc>
          <w:tcPr>
            <w:tcW w:w="15622" w:type="dxa"/>
            <w:gridSpan w:val="16"/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Информация об инвестиционных программах и отчетах об их реализации</w:t>
            </w:r>
          </w:p>
        </w:tc>
      </w:tr>
      <w:tr>
        <w:trPr>
          <w:trHeight w:val="330"/>
        </w:trPr>
        <w:tc>
          <w:tcPr>
            <w:tcW w:w="7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/п</w:t>
            </w:r>
          </w:p>
        </w:tc>
        <w:tc>
          <w:tcPr>
            <w:tcW w:w="532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52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Значение</w:t>
            </w:r>
          </w:p>
        </w:tc>
        <w:tc>
          <w:tcPr>
            <w:tcW w:w="3155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Плановые значения</w:t>
            </w:r>
          </w:p>
        </w:tc>
        <w:tc>
          <w:tcPr>
            <w:tcW w:w="3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 Мероприятия инвестиционной программы</w:t>
            </w:r>
          </w:p>
        </w:tc>
      </w:tr>
      <w:tr>
        <w:trPr>
          <w:trHeight w:val="255"/>
        </w:trPr>
        <w:tc>
          <w:tcPr>
            <w:tcW w:w="7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</w:p>
        </w:tc>
        <w:tc>
          <w:tcPr>
            <w:tcW w:w="532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</w:p>
        </w:tc>
        <w:tc>
          <w:tcPr>
            <w:tcW w:w="2952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</w:p>
        </w:tc>
        <w:tc>
          <w:tcPr>
            <w:tcW w:w="3155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наименование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наименование</w:t>
            </w:r>
          </w:p>
        </w:tc>
      </w:tr>
      <w:tr>
        <w:trPr>
          <w:trHeight w:val="24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315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 5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>
        <w:trPr>
          <w:trHeight w:val="174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Наименование инвестиционной программы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u w:val="single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u w:val="single"/>
              </w:rPr>
            </w:pPr>
          </w:p>
        </w:tc>
      </w:tr>
      <w:tr>
        <w:trPr>
          <w:trHeight w:val="7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цель инвестиционной программы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>
        <w:trPr>
          <w:trHeight w:val="7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срок начала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>
        <w:trPr>
          <w:trHeight w:val="7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срок окончания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>
        <w:trPr>
          <w:trHeight w:val="229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потребность в финансовых средствах, необходимых для реализации инвестиционной программы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>
        <w:trPr>
          <w:trHeight w:val="167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инвестиционная программа продолжается в следующих периодах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>
        <w:trPr>
          <w:trHeight w:val="7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эффективность реализации инвестиционной программы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.):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>
        <w:trPr>
          <w:trHeight w:val="7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7.1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повышение уровня автоматизации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>
        <w:trPr>
          <w:trHeight w:val="163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7.2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повышение качества предоставляемых товаров/услуг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>
        <w:trPr>
          <w:trHeight w:val="7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7.3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снижение аварийности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>
        <w:trPr>
          <w:trHeight w:val="7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7.4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снижения % утечек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>
        <w:trPr>
          <w:trHeight w:val="7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7.5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повышение эффективности работы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>
        <w:trPr>
          <w:trHeight w:val="7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7.6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повышение эффективности производства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>
        <w:trPr>
          <w:trHeight w:val="7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7.7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повышение качества учета товара/услуги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>
        <w:trPr>
          <w:trHeight w:val="7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7.8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прочие, при условии минимизация расходов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>
        <w:trPr>
          <w:trHeight w:val="42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7.9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>
        <w:trPr>
          <w:trHeight w:val="30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</w:rPr>
            </w:pPr>
            <w:hyperlink r:id="rId7" w:anchor="RANGE!A1#RANGE!A1" w:tooltip="Добавить показатель эффективности" w:history="1">
              <w:r>
                <w:rPr>
                  <w:rStyle w:val="a3"/>
                  <w:b/>
                  <w:bCs/>
                  <w:color w:val="000000"/>
                  <w:spacing w:val="-10"/>
                  <w:sz w:val="22"/>
                  <w:szCs w:val="22"/>
                </w:rPr>
                <w:t>Добавить показатель эффективности</w:t>
              </w:r>
            </w:hyperlink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3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>
        <w:trPr>
          <w:trHeight w:val="147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запланировано средств за I квартал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.):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>
        <w:trPr>
          <w:trHeight w:val="7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запланировано средств за II квартал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.):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>
        <w:trPr>
          <w:trHeight w:val="7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запланировано средств за III квартал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.):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>
        <w:trPr>
          <w:trHeight w:val="7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запланировано средств за IV квартал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.):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>
        <w:trPr>
          <w:trHeight w:val="7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использовано средств за I квартал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.):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>
        <w:trPr>
          <w:trHeight w:val="243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использовано средств за II квартал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.):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>
        <w:trPr>
          <w:trHeight w:val="7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использовано средств за III квартал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.):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>
        <w:trPr>
          <w:trHeight w:val="7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использовано средств за IV квартал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.):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>
        <w:trPr>
          <w:trHeight w:val="7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16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Привлеченные средств</w:t>
            </w:r>
            <w:proofErr w:type="gramStart"/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а(</w:t>
            </w:r>
            <w:proofErr w:type="gramEnd"/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тыс. руб.), из них: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>
        <w:trPr>
          <w:trHeight w:val="7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16.1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кредиты банков (тыс. руб.)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>
        <w:trPr>
          <w:trHeight w:val="7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16.2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из них: кредиты иностранных банков (тыс. руб.)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>
        <w:trPr>
          <w:trHeight w:val="7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16.3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заемные средства других организаций (тыс. руб.)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>
        <w:trPr>
          <w:trHeight w:val="7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17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бюджетные средства (тыс. руб.) из них: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>
        <w:trPr>
          <w:trHeight w:val="7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17.1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Федеральный бюджет (тыс. руб.)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>
        <w:trPr>
          <w:trHeight w:val="7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17.2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бюджет субъекта РФ (тыс. руб.)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>
        <w:trPr>
          <w:trHeight w:val="7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17.3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бюджет муниципального образования (тыс. руб.)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>
        <w:trPr>
          <w:trHeight w:val="7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18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средства внебюджетных фондов (тыс. руб.)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>
        <w:trPr>
          <w:trHeight w:val="7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19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прочие средства (тыс. руб.)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>
        <w:trPr>
          <w:trHeight w:val="7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амортизация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.)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>
        <w:trPr>
          <w:trHeight w:val="7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21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инвестиционная надбавка к тарифу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.)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>
        <w:trPr>
          <w:trHeight w:val="7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22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плата за подключение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.)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>
        <w:trPr>
          <w:trHeight w:val="7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23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прибыль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.)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</w:tbl>
    <w:p>
      <w:pPr>
        <w:spacing w:line="192" w:lineRule="auto"/>
        <w:rPr>
          <w:color w:val="000000"/>
          <w:spacing w:val="-10"/>
          <w:sz w:val="22"/>
          <w:szCs w:val="22"/>
        </w:rPr>
      </w:pPr>
    </w:p>
    <w:tbl>
      <w:tblPr>
        <w:tblW w:w="10320" w:type="dxa"/>
        <w:tblInd w:w="103" w:type="dxa"/>
        <w:tblLook w:val="0000" w:firstRow="0" w:lastRow="0" w:firstColumn="0" w:lastColumn="0" w:noHBand="0" w:noVBand="0"/>
      </w:tblPr>
      <w:tblGrid>
        <w:gridCol w:w="720"/>
        <w:gridCol w:w="5320"/>
        <w:gridCol w:w="4280"/>
      </w:tblGrid>
      <w:tr>
        <w:trPr>
          <w:trHeight w:val="720"/>
        </w:trPr>
        <w:tc>
          <w:tcPr>
            <w:tcW w:w="10320" w:type="dxa"/>
            <w:gridSpan w:val="3"/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холодного водоснабжения</w:t>
            </w:r>
          </w:p>
        </w:tc>
      </w:tr>
      <w:tr>
        <w:trPr>
          <w:trHeight w:val="6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/п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Значение</w:t>
            </w:r>
          </w:p>
        </w:tc>
      </w:tr>
      <w:tr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3</w:t>
            </w:r>
          </w:p>
        </w:tc>
      </w:tr>
      <w:tr>
        <w:trPr>
          <w:trHeight w:val="16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количество поданных заявок на подключение к системе холодного водоснабжения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   0 </w:t>
            </w:r>
          </w:p>
        </w:tc>
      </w:tr>
      <w:tr>
        <w:trPr>
          <w:trHeight w:val="11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количество зарегистрированных заявок на подключение к системе холодного водоснабжения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0</w:t>
            </w:r>
          </w:p>
        </w:tc>
      </w:tr>
      <w:tr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0</w:t>
            </w:r>
          </w:p>
        </w:tc>
      </w:tr>
      <w:tr>
        <w:trPr>
          <w:trHeight w:val="17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количестве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 xml:space="preserve"> заявок на подключение к системе холодного водоснабжения,  по которым принято решение об отказе в подключении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0</w:t>
            </w:r>
          </w:p>
        </w:tc>
      </w:tr>
      <w:tr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резерв мощности системы холодного водоснабжения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уб.м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/сутки)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 1,9</w:t>
            </w:r>
          </w:p>
        </w:tc>
      </w:tr>
      <w:tr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Справочно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 xml:space="preserve">: количество 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выданных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техусловий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 xml:space="preserve"> на подключение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0</w:t>
            </w:r>
          </w:p>
        </w:tc>
      </w:tr>
    </w:tbl>
    <w:p>
      <w:pPr>
        <w:spacing w:line="192" w:lineRule="auto"/>
        <w:rPr>
          <w:color w:val="000000"/>
          <w:spacing w:val="-10"/>
          <w:sz w:val="22"/>
          <w:szCs w:val="22"/>
        </w:rPr>
      </w:pPr>
    </w:p>
    <w:tbl>
      <w:tblPr>
        <w:tblW w:w="11980" w:type="dxa"/>
        <w:tblInd w:w="103" w:type="dxa"/>
        <w:tblLook w:val="0000" w:firstRow="0" w:lastRow="0" w:firstColumn="0" w:lastColumn="0" w:noHBand="0" w:noVBand="0"/>
      </w:tblPr>
      <w:tblGrid>
        <w:gridCol w:w="751"/>
        <w:gridCol w:w="5293"/>
        <w:gridCol w:w="1656"/>
        <w:gridCol w:w="4280"/>
      </w:tblGrid>
      <w:tr>
        <w:trPr>
          <w:trHeight w:val="615"/>
        </w:trPr>
        <w:tc>
          <w:tcPr>
            <w:tcW w:w="11980" w:type="dxa"/>
            <w:gridSpan w:val="4"/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</w:t>
            </w:r>
          </w:p>
        </w:tc>
      </w:tr>
      <w:tr>
        <w:trPr>
          <w:trHeight w:val="600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/п</w:t>
            </w:r>
          </w:p>
        </w:tc>
        <w:tc>
          <w:tcPr>
            <w:tcW w:w="52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Единица измерения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Значение</w:t>
            </w:r>
          </w:p>
        </w:tc>
      </w:tr>
      <w:tr>
        <w:trPr>
          <w:trHeight w:val="24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4</w:t>
            </w:r>
          </w:p>
        </w:tc>
      </w:tr>
      <w:tr>
        <w:trPr>
          <w:trHeight w:val="6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вид регулируемой деятельности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x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Холодное водоснабжение </w:t>
            </w:r>
          </w:p>
        </w:tc>
      </w:tr>
      <w:tr>
        <w:trPr>
          <w:trHeight w:val="13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выручка от регулируемой деятельности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 xml:space="preserve">     817,9</w:t>
            </w:r>
          </w:p>
        </w:tc>
      </w:tr>
      <w:tr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себестоимость производимых товаров (оказываемых услуг) по регулируемому виду деятельности, в том числе: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631,6</w:t>
            </w:r>
          </w:p>
        </w:tc>
      </w:tr>
      <w:tr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Покупная вода, в том числе: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>
        <w:trPr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3.1.1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технического качества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>
        <w:trPr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3.1.2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питьевого качества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>
        <w:trPr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3.1.3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покупка потерь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>
        <w:trPr>
          <w:trHeight w:val="84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Ты</w:t>
            </w:r>
          </w:p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</w:p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  <w:sz w:val="22"/>
                <w:szCs w:val="22"/>
              </w:rPr>
              <w:t>630,3</w:t>
            </w:r>
          </w:p>
        </w:tc>
      </w:tr>
      <w:tr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3.2.1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средневзвешенная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 xml:space="preserve"> стоимости 1 кВт*ч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руб.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  <w:sz w:val="22"/>
                <w:szCs w:val="22"/>
              </w:rPr>
              <w:t>   5,5</w:t>
            </w:r>
          </w:p>
        </w:tc>
      </w:tr>
      <w:tr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3.2.2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объем приобретенной электрической энергии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Вт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*ч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 xml:space="preserve"> 114,6</w:t>
            </w:r>
          </w:p>
        </w:tc>
      </w:tr>
      <w:tr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Расходы на реагенты: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</w:tr>
      <w:tr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3.3.1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Количество использованного реагента, в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.: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0,0000</w:t>
            </w:r>
          </w:p>
        </w:tc>
      </w:tr>
      <w:tr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3.3.1.1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300" w:firstLine="63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хлора (всех видов)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</w:tr>
      <w:tr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3.3.1.2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300" w:firstLine="63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алюминия сульфата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</w:tr>
      <w:tr>
        <w:trPr>
          <w:trHeight w:val="37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3.3.1.3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300" w:firstLine="63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гипохлорита натрия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</w:tr>
      <w:tr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3.3.1.4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300" w:firstLine="63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гипохлорита кальция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</w:tr>
      <w:tr>
        <w:trPr>
          <w:trHeight w:val="14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3.3.1.5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300" w:firstLine="63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аммиака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</w:tr>
      <w:tr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3.3.1.6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300" w:firstLine="63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активированного угля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</w:tr>
      <w:tr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3.3.1.7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300" w:firstLine="63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коагулянтов и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флокулянтов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</w:tr>
      <w:tr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3.3.1.8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300" w:firstLine="63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прочих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</w:tr>
      <w:tr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расходы на оплату труда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 xml:space="preserve">                                    </w:t>
            </w:r>
            <w:r>
              <w:rPr>
                <w:spacing w:val="-10"/>
                <w:sz w:val="22"/>
                <w:szCs w:val="22"/>
              </w:rPr>
              <w:t xml:space="preserve">   144,0</w:t>
            </w:r>
          </w:p>
        </w:tc>
      </w:tr>
      <w:tr>
        <w:trPr>
          <w:trHeight w:val="152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 xml:space="preserve"> 43,5</w:t>
            </w:r>
          </w:p>
        </w:tc>
      </w:tr>
      <w:tr>
        <w:trPr>
          <w:trHeight w:val="9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расходы на амортизацию основных производственных средств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</w:tr>
      <w:tr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аренда имущества, используемого в технологическом процессе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</w:tr>
      <w:tr>
        <w:trPr>
          <w:trHeight w:val="16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общепроизводственные (цеховые) расходы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</w:tr>
      <w:tr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общехозяйственные (управленческие) расходы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</w:tr>
      <w:tr>
        <w:trPr>
          <w:trHeight w:val="10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3.10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Ремонт и техническое обслуживание основных средств, в том числе: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bookmarkStart w:id="0" w:name="_GoBack"/>
            <w:bookmarkEnd w:id="0"/>
            <w:r>
              <w:rPr>
                <w:spacing w:val="-10"/>
                <w:sz w:val="22"/>
                <w:szCs w:val="22"/>
              </w:rPr>
              <w:t>  60,3</w:t>
            </w:r>
          </w:p>
        </w:tc>
      </w:tr>
      <w:tr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3.10.1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капитальный и текущий ремонт основных средств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</w:tr>
      <w:tr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3.10.2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заработная плата ремонтного персонала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</w:tr>
      <w:tr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3.10.3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среднемесячная оплата труда рабочего 1 разряда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</w:tr>
      <w:tr>
        <w:trPr>
          <w:trHeight w:val="30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3.10.4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численность ремонтного персонала на конец отчетного периода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чел.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</w:tr>
      <w:tr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3.10.5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отчисления на соц. нужды от заработной платы ремонтного персонала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</w:tr>
      <w:tr>
        <w:trPr>
          <w:trHeight w:val="18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3.11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</w:tr>
      <w:tr>
        <w:trPr>
          <w:trHeight w:val="26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валовая прибыль от продажи товаров и услуг по регулируемому виду деятельности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</w:tr>
      <w:tr>
        <w:trPr>
          <w:trHeight w:val="114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чистая прибыль по регулируемому виду деятельности с указанием размера ее расходования на финансирование мероприятий, предусмотренных инвестиционной программой регулируемой организации по развитию системы холодного водоснабжения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</w:tr>
      <w:tr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изменении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 xml:space="preserve"> стоимости основных фондов, в том числе за счет ввода (вывода) их из эксплуатации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</w:tr>
      <w:tr>
        <w:trPr>
          <w:trHeight w:val="48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Поднято воды,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в.т.ч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5,7</w:t>
            </w:r>
          </w:p>
        </w:tc>
      </w:tr>
      <w:tr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7.1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из подземных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водоисточников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 5,7</w:t>
            </w:r>
          </w:p>
        </w:tc>
      </w:tr>
      <w:tr>
        <w:trPr>
          <w:trHeight w:val="15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7.2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из поверхностных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водоисточников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</w:tr>
      <w:tr>
        <w:trPr>
          <w:trHeight w:val="9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Получено воды со стороны, в.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0,0000</w:t>
            </w:r>
          </w:p>
        </w:tc>
      </w:tr>
      <w:tr>
        <w:trPr>
          <w:trHeight w:val="7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8.1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технического качества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</w:tr>
      <w:tr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8.2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питьевого качества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</w:tr>
      <w:tr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объем воды, пропущенной через очистные сооружения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</w:tr>
      <w:tr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объем отпущенной потребителям воды, в том числе: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5,7</w:t>
            </w:r>
          </w:p>
        </w:tc>
      </w:tr>
      <w:tr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10.1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по приборам учета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</w:tr>
      <w:tr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10.2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по нормативам потребления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5,7</w:t>
            </w:r>
          </w:p>
        </w:tc>
      </w:tr>
      <w:tr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потери воды в сетях (процентов)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%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</w:tr>
      <w:tr>
        <w:trPr>
          <w:trHeight w:val="48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протяженность водопроводных сетей (в однотрубном исчислении)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км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 38,2</w:t>
            </w:r>
          </w:p>
        </w:tc>
      </w:tr>
      <w:tr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количество скважин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ед.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</w:tr>
      <w:tr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количество подкачивающих насосных станций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ед.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</w:tr>
      <w:tr>
        <w:trPr>
          <w:trHeight w:val="48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чел.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 5</w:t>
            </w:r>
          </w:p>
        </w:tc>
      </w:tr>
      <w:tr>
        <w:trPr>
          <w:trHeight w:val="67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удельный расход электроэнергии на подачу воды в сет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ь(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учитывать электроэнергию всех насосных и подкачивающих станций)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кВт·ч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куб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 1,4</w:t>
            </w:r>
          </w:p>
          <w:p>
            <w:pPr>
              <w:spacing w:line="192" w:lineRule="auto"/>
              <w:rPr>
                <w:spacing w:val="-10"/>
              </w:rPr>
            </w:pPr>
          </w:p>
        </w:tc>
      </w:tr>
      <w:tr>
        <w:trPr>
          <w:trHeight w:val="14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Расход воды на коммунально-бытовые нужды ОКК: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0,00</w:t>
            </w:r>
          </w:p>
        </w:tc>
      </w:tr>
      <w:tr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17.1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Расход воды на технологические нужды предприятия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</w:tr>
      <w:tr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17.2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питьевого качества в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.: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0,00</w:t>
            </w:r>
          </w:p>
        </w:tc>
      </w:tr>
      <w:tr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17.2.1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на очистные сооружения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17.2.2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на промывку сетей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17.2.3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прочие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>
        <w:trPr>
          <w:trHeight w:val="10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показатель использования производственных объектов (по объему перекачки) по отношению к пиковому дню отчетного года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%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</w:tbl>
    <w:p>
      <w:pPr>
        <w:spacing w:line="192" w:lineRule="auto"/>
        <w:rPr>
          <w:color w:val="000000"/>
          <w:spacing w:val="-10"/>
          <w:sz w:val="22"/>
          <w:szCs w:val="22"/>
        </w:rPr>
      </w:pPr>
    </w:p>
    <w:p>
      <w:pPr>
        <w:autoSpaceDE w:val="0"/>
        <w:autoSpaceDN w:val="0"/>
        <w:adjustRightInd w:val="0"/>
        <w:spacing w:line="204" w:lineRule="auto"/>
        <w:ind w:firstLine="540"/>
        <w:jc w:val="both"/>
        <w:rPr>
          <w:color w:val="000000"/>
          <w:sz w:val="26"/>
          <w:szCs w:val="26"/>
        </w:rPr>
      </w:pPr>
    </w:p>
    <w:p/>
    <w:p/>
    <w:sectPr>
      <w:pgSz w:w="16838" w:h="11906" w:orient="landscape"/>
      <w:pgMar w:top="128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~1\CHEREV~1\LOCALS~1\Temp\&#1042;&#1088;&#1077;&#1084;&#1077;&#1085;&#1085;&#1072;&#1103;%20&#1087;&#1072;&#1087;&#1082;&#1072;%201%20&#1076;&#1083;&#1103;%20JKH.OPEN.INFO.HVS2(v2.1)%5b1%5d.zip\JKH.OPEN.INFO.HVS2(v2.1).xl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1621</Words>
  <Characters>9241</Characters>
  <Application>Microsoft Office Word</Application>
  <DocSecurity>0</DocSecurity>
  <Lines>77</Lines>
  <Paragraphs>21</Paragraphs>
  <ScaleCrop>false</ScaleCrop>
  <Company>Microsoft</Company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1</cp:revision>
  <dcterms:created xsi:type="dcterms:W3CDTF">2018-01-29T07:46:00Z</dcterms:created>
  <dcterms:modified xsi:type="dcterms:W3CDTF">2018-01-29T07:48:00Z</dcterms:modified>
</cp:coreProperties>
</file>