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3" w:rsidRDefault="00B2418D" w:rsidP="00B2418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2418D">
        <w:rPr>
          <w:rFonts w:ascii="PT Astra Serif" w:hAnsi="PT Astra Serif"/>
          <w:b/>
          <w:sz w:val="28"/>
          <w:szCs w:val="28"/>
        </w:rPr>
        <w:t xml:space="preserve">Основные новеллы в Методических рекомендациях по вопросам </w:t>
      </w:r>
    </w:p>
    <w:p w:rsidR="001264D3" w:rsidRDefault="00B2418D" w:rsidP="00B2418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2418D">
        <w:rPr>
          <w:rFonts w:ascii="PT Astra Serif" w:hAnsi="PT Astra Serif"/>
          <w:b/>
          <w:sz w:val="28"/>
          <w:szCs w:val="28"/>
        </w:rPr>
        <w:t>представл</w:t>
      </w:r>
      <w:r w:rsidRPr="00B2418D">
        <w:rPr>
          <w:rFonts w:ascii="PT Astra Serif" w:hAnsi="PT Astra Serif"/>
          <w:b/>
          <w:sz w:val="28"/>
          <w:szCs w:val="28"/>
        </w:rPr>
        <w:t>е</w:t>
      </w:r>
      <w:r w:rsidRPr="00B2418D">
        <w:rPr>
          <w:rFonts w:ascii="PT Astra Serif" w:hAnsi="PT Astra Serif"/>
          <w:b/>
          <w:sz w:val="28"/>
          <w:szCs w:val="28"/>
        </w:rPr>
        <w:t>ния сведений о доходах, расходах, об имуществе и обязательствах имущес</w:t>
      </w:r>
      <w:r w:rsidRPr="00B2418D">
        <w:rPr>
          <w:rFonts w:ascii="PT Astra Serif" w:hAnsi="PT Astra Serif"/>
          <w:b/>
          <w:sz w:val="28"/>
          <w:szCs w:val="28"/>
        </w:rPr>
        <w:t>т</w:t>
      </w:r>
      <w:r w:rsidRPr="00B2418D">
        <w:rPr>
          <w:rFonts w:ascii="PT Astra Serif" w:hAnsi="PT Astra Serif"/>
          <w:b/>
          <w:sz w:val="28"/>
          <w:szCs w:val="28"/>
        </w:rPr>
        <w:t xml:space="preserve">венного характера и заполнения соответствующей формы справки </w:t>
      </w:r>
    </w:p>
    <w:p w:rsidR="00B2418D" w:rsidRDefault="00B2418D" w:rsidP="00B2418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2418D">
        <w:rPr>
          <w:rFonts w:ascii="PT Astra Serif" w:hAnsi="PT Astra Serif"/>
          <w:b/>
          <w:sz w:val="28"/>
          <w:szCs w:val="28"/>
        </w:rPr>
        <w:t>в 2020 г</w:t>
      </w:r>
      <w:r w:rsidRPr="00B2418D">
        <w:rPr>
          <w:rFonts w:ascii="PT Astra Serif" w:hAnsi="PT Astra Serif"/>
          <w:b/>
          <w:sz w:val="28"/>
          <w:szCs w:val="28"/>
        </w:rPr>
        <w:t>о</w:t>
      </w:r>
      <w:r w:rsidRPr="00B2418D">
        <w:rPr>
          <w:rFonts w:ascii="PT Astra Serif" w:hAnsi="PT Astra Serif"/>
          <w:b/>
          <w:sz w:val="28"/>
          <w:szCs w:val="28"/>
        </w:rPr>
        <w:t>ду (за отчетный 2019 год)</w:t>
      </w:r>
    </w:p>
    <w:p w:rsidR="00B2418D" w:rsidRPr="00B2418D" w:rsidRDefault="00B2418D" w:rsidP="00B2418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</w:t>
      </w:r>
      <w:r w:rsidRPr="00B2418D">
        <w:rPr>
          <w:rFonts w:ascii="PT Astra Serif" w:hAnsi="PT Astra Serif"/>
          <w:sz w:val="28"/>
          <w:szCs w:val="28"/>
        </w:rPr>
        <w:t>д</w:t>
      </w:r>
      <w:r w:rsidRPr="00B2418D">
        <w:rPr>
          <w:rFonts w:ascii="PT Astra Serif" w:hAnsi="PT Astra Serif"/>
          <w:sz w:val="28"/>
          <w:szCs w:val="28"/>
        </w:rPr>
        <w:t>но обновляемых Методических рекомендаций по вопросам представления сведений о доходах, расходах, об имуществе и обязательствах имуществе</w:t>
      </w:r>
      <w:r w:rsidRPr="00B2418D">
        <w:rPr>
          <w:rFonts w:ascii="PT Astra Serif" w:hAnsi="PT Astra Serif"/>
          <w:sz w:val="28"/>
          <w:szCs w:val="28"/>
        </w:rPr>
        <w:t>н</w:t>
      </w:r>
      <w:r w:rsidRPr="00B2418D">
        <w:rPr>
          <w:rFonts w:ascii="PT Astra Serif" w:hAnsi="PT Astra Serif"/>
          <w:sz w:val="28"/>
          <w:szCs w:val="28"/>
        </w:rPr>
        <w:t>ного характера и заполнения соответствующей формы справки (далее – М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тодические рекомендации), направления их в заинтересованные государс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 xml:space="preserve">венные органы и организации, а также размещения на официальном сайте Минтруда России.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Методические рекомендации для применения в ходе декларационной кампании 2020 года (за отчетный 2019 год) подготовлены Министерством при участии Администрации Президента Российской Федерации, Централ</w:t>
      </w:r>
      <w:r w:rsidRPr="00B2418D">
        <w:rPr>
          <w:rFonts w:ascii="PT Astra Serif" w:hAnsi="PT Astra Serif"/>
          <w:sz w:val="28"/>
          <w:szCs w:val="28"/>
        </w:rPr>
        <w:t>ь</w:t>
      </w:r>
      <w:r w:rsidRPr="00B2418D">
        <w:rPr>
          <w:rFonts w:ascii="PT Astra Serif" w:hAnsi="PT Astra Serif"/>
          <w:sz w:val="28"/>
          <w:szCs w:val="28"/>
        </w:rPr>
        <w:t>ного банка Российской Федерации, Генеральной прокуратуры Российской Федерации и иных заинтересованных федеральных государственных орг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 xml:space="preserve">нов.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 xml:space="preserve">В ходе использования в работе указанных Методических рекомендаций предлагаем обратить внимание на следующее.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1. В преамбуле Методических рекомендаций акцентировано внимание читателей на то, что консультативную и методическую помощь государс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>венным и муниципальным служащим (далее – служащие), а также работн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кам отдельных категорий организаций (далее – работники) оказывает по</w:t>
      </w:r>
      <w:r w:rsidRPr="00B2418D">
        <w:rPr>
          <w:rFonts w:ascii="PT Astra Serif" w:hAnsi="PT Astra Serif"/>
          <w:sz w:val="28"/>
          <w:szCs w:val="28"/>
        </w:rPr>
        <w:t>д</w:t>
      </w:r>
      <w:r w:rsidRPr="00B2418D">
        <w:rPr>
          <w:rFonts w:ascii="PT Astra Serif" w:hAnsi="PT Astra Serif"/>
          <w:sz w:val="28"/>
          <w:szCs w:val="28"/>
        </w:rPr>
        <w:t>разделение по профилактике коррупционных и иных правонарушений (должностное лицо, ответственное за работу по профилактике коррупцио</w:t>
      </w:r>
      <w:r w:rsidRPr="00B2418D">
        <w:rPr>
          <w:rFonts w:ascii="PT Astra Serif" w:hAnsi="PT Astra Serif"/>
          <w:sz w:val="28"/>
          <w:szCs w:val="28"/>
        </w:rPr>
        <w:t>н</w:t>
      </w:r>
      <w:r w:rsidRPr="00B2418D">
        <w:rPr>
          <w:rFonts w:ascii="PT Astra Serif" w:hAnsi="PT Astra Serif"/>
          <w:sz w:val="28"/>
          <w:szCs w:val="28"/>
        </w:rPr>
        <w:t xml:space="preserve">ных и иных правонарушений) (далее – подразделение).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2. Исключены положения о необходимости представления сведений о доходах, расходах, об имуществе и обязательствах имущественного характ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ра (далее – сведения) в подразделение, в котором лицо замещало должность на отчетную дату, в случае перевода в период де</w:t>
      </w:r>
      <w:r w:rsidRPr="00B2418D">
        <w:rPr>
          <w:rFonts w:ascii="PT Astra Serif" w:hAnsi="PT Astra Serif"/>
          <w:sz w:val="28"/>
          <w:szCs w:val="28"/>
        </w:rPr>
        <w:t>к</w:t>
      </w:r>
      <w:r w:rsidRPr="00B2418D">
        <w:rPr>
          <w:rFonts w:ascii="PT Astra Serif" w:hAnsi="PT Astra Serif"/>
          <w:sz w:val="28"/>
          <w:szCs w:val="28"/>
        </w:rPr>
        <w:t xml:space="preserve">ларационной кампании, а также положения о представлении сведений в случае увольнения в период декларационной кампании.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3. В пункте 34 Методических рекомендаций отмечено, что сведения рекомендуется заполнять на основании правоустанавливающих и иных по</w:t>
      </w:r>
      <w:r w:rsidRPr="00B2418D">
        <w:rPr>
          <w:rFonts w:ascii="PT Astra Serif" w:hAnsi="PT Astra Serif"/>
          <w:sz w:val="28"/>
          <w:szCs w:val="28"/>
        </w:rPr>
        <w:t>д</w:t>
      </w:r>
      <w:r w:rsidRPr="00B2418D">
        <w:rPr>
          <w:rFonts w:ascii="PT Astra Serif" w:hAnsi="PT Astra Serif"/>
          <w:sz w:val="28"/>
          <w:szCs w:val="28"/>
        </w:rPr>
        <w:t xml:space="preserve">тверждающих официальных документов. Не рекомендуется пользоваться информацией, полученной по телефону, в том числе в виде смс-сообщения. </w:t>
      </w:r>
      <w:r w:rsidR="001264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4. Также в Методических рекомендациях процитированы положения из Инструкции о порядке заполнения справки о доходах, расходах, об имущес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>ве и обязательствах имущественного характера (далее – справка) с использ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ванием специального программного обеспечения "Справки БК".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5. Дополнительно уточнено, что выплаты денежных сумм, осущест</w:t>
      </w:r>
      <w:r w:rsidRPr="00B2418D">
        <w:rPr>
          <w:rFonts w:ascii="PT Astra Serif" w:hAnsi="PT Astra Serif"/>
          <w:sz w:val="28"/>
          <w:szCs w:val="28"/>
        </w:rPr>
        <w:t>в</w:t>
      </w:r>
      <w:r w:rsidRPr="00B2418D">
        <w:rPr>
          <w:rFonts w:ascii="PT Astra Serif" w:hAnsi="PT Astra Serif"/>
          <w:sz w:val="28"/>
          <w:szCs w:val="28"/>
        </w:rPr>
        <w:t>ленные на основании договоров страх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вания, подлежат отражению в разделе 1 справки. При этом в отношении договоров страхования, поименованных в </w:t>
      </w:r>
      <w:r w:rsidRPr="00B2418D">
        <w:rPr>
          <w:rFonts w:ascii="PT Astra Serif" w:hAnsi="PT Astra Serif"/>
          <w:sz w:val="28"/>
          <w:szCs w:val="28"/>
        </w:rPr>
        <w:lastRenderedPageBreak/>
        <w:t>подпункте 3 пункта 158 Методических рекомендаций, 2 доходом является положительный результат (разница между уплаченными страховыми пр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миями (взносами) и выплаченными в результате прекращения таких догов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>ров страхования денежными суммами (в отношении каждого договора о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 xml:space="preserve">дельно)).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6. В Методических рекомендациях отмечено, что в случае приобрет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ния служащим (работником) и его супругой (супругом) соответствующего объекта имущ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ства в долевую собственность (не определен единственный покупатель в д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говоре) раздел 2 справки заполняется в справках обоих лиц (аналогично в отношении несовершеннолетних детей). При этом в графе "Сумма сделки" применимых справок рекомендуется указывать полную стоимость.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7. Одновременно в Методических рекомендациях предусмотрены п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>ложения, касающиеся граждан, зарегистрированных в качестве индивид</w:t>
      </w:r>
      <w:r w:rsidRPr="00B2418D">
        <w:rPr>
          <w:rFonts w:ascii="PT Astra Serif" w:hAnsi="PT Astra Serif"/>
          <w:sz w:val="28"/>
          <w:szCs w:val="28"/>
        </w:rPr>
        <w:t>у</w:t>
      </w:r>
      <w:r w:rsidRPr="00B2418D">
        <w:rPr>
          <w:rFonts w:ascii="PT Astra Serif" w:hAnsi="PT Astra Serif"/>
          <w:sz w:val="28"/>
          <w:szCs w:val="28"/>
        </w:rPr>
        <w:t xml:space="preserve">альных предпринимателей.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8. Отмечено, что не подлежит отражению информация о земельном участке в рамках гаражно-строительного и иных кооперативов в случае о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 xml:space="preserve">сутствия прав собственности у лица, в отношении которого представляется справка (в том числе в подразделе 6.1 раздела 6 справки).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9. Методические рекомендации дополнены положением, согласно к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>торому, по общему правилу, предусмотренному пунктом 2 статьи 223 Гра</w:t>
      </w:r>
      <w:r w:rsidRPr="00B2418D">
        <w:rPr>
          <w:rFonts w:ascii="PT Astra Serif" w:hAnsi="PT Astra Serif"/>
          <w:sz w:val="28"/>
          <w:szCs w:val="28"/>
        </w:rPr>
        <w:t>ж</w:t>
      </w:r>
      <w:r w:rsidRPr="00B2418D">
        <w:rPr>
          <w:rFonts w:ascii="PT Astra Serif" w:hAnsi="PT Astra Serif"/>
          <w:sz w:val="28"/>
          <w:szCs w:val="28"/>
        </w:rPr>
        <w:t>данского кодекса Российской Федерации, в случаях, когда отчуждение им</w:t>
      </w:r>
      <w:r w:rsidRPr="00B2418D">
        <w:rPr>
          <w:rFonts w:ascii="PT Astra Serif" w:hAnsi="PT Astra Serif"/>
          <w:sz w:val="28"/>
          <w:szCs w:val="28"/>
        </w:rPr>
        <w:t>у</w:t>
      </w:r>
      <w:r w:rsidRPr="00B2418D">
        <w:rPr>
          <w:rFonts w:ascii="PT Astra Serif" w:hAnsi="PT Astra Serif"/>
          <w:sz w:val="28"/>
          <w:szCs w:val="28"/>
        </w:rPr>
        <w:t>щества подлежит гос</w:t>
      </w:r>
      <w:r w:rsidRPr="00B2418D">
        <w:rPr>
          <w:rFonts w:ascii="PT Astra Serif" w:hAnsi="PT Astra Serif"/>
          <w:sz w:val="28"/>
          <w:szCs w:val="28"/>
        </w:rPr>
        <w:t>у</w:t>
      </w:r>
      <w:r w:rsidRPr="00B2418D">
        <w:rPr>
          <w:rFonts w:ascii="PT Astra Serif" w:hAnsi="PT Astra Serif"/>
          <w:sz w:val="28"/>
          <w:szCs w:val="28"/>
        </w:rPr>
        <w:t>дарственной регистрации (например, квартира), право собственности у пр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обретателя возникает с момента такой регистрации, если иное не установл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 xml:space="preserve">но законом. Так, в частности, регистрация транспортных средств носит учетный характер и не служит основанием для возникновения (прекращения) на них права собственности.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10. Отмечено, что в графе "М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сто регистрации" подраздела 3.2 раздела 3 справки допускается указание к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да подразделения ГИБДД в соответствии со свидетельством о регистрации транспортного средства.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11. В разделе 4 справки необходимо отражать информацию о ном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нальных счетах и счетах эскроу, а также о счетах, открытых гражданам, зар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гистрированным в кач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стве индивидуальных предпринимателей (при этом прилагать выписку о движении денежных средств по расчетному счету инд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видуального пре</w:t>
      </w:r>
      <w:r w:rsidRPr="00B2418D">
        <w:rPr>
          <w:rFonts w:ascii="PT Astra Serif" w:hAnsi="PT Astra Serif"/>
          <w:sz w:val="28"/>
          <w:szCs w:val="28"/>
        </w:rPr>
        <w:t>д</w:t>
      </w:r>
      <w:r w:rsidRPr="00B2418D">
        <w:rPr>
          <w:rFonts w:ascii="PT Astra Serif" w:hAnsi="PT Astra Serif"/>
          <w:sz w:val="28"/>
          <w:szCs w:val="28"/>
        </w:rPr>
        <w:t xml:space="preserve">принимателя не требуется).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12. В части графы "Основание участия" подраздела 5.1 раздела 5 спра</w:t>
      </w:r>
      <w:r w:rsidRPr="00B2418D">
        <w:rPr>
          <w:rFonts w:ascii="PT Astra Serif" w:hAnsi="PT Astra Serif"/>
          <w:sz w:val="28"/>
          <w:szCs w:val="28"/>
        </w:rPr>
        <w:t>в</w:t>
      </w:r>
      <w:r w:rsidRPr="00B2418D">
        <w:rPr>
          <w:rFonts w:ascii="PT Astra Serif" w:hAnsi="PT Astra Serif"/>
          <w:sz w:val="28"/>
          <w:szCs w:val="28"/>
        </w:rPr>
        <w:t>ки предусмотрено, что подтверждением права собственности на ценные б</w:t>
      </w:r>
      <w:r w:rsidRPr="00B2418D">
        <w:rPr>
          <w:rFonts w:ascii="PT Astra Serif" w:hAnsi="PT Astra Serif"/>
          <w:sz w:val="28"/>
          <w:szCs w:val="28"/>
        </w:rPr>
        <w:t>у</w:t>
      </w:r>
      <w:r w:rsidRPr="00B2418D">
        <w:rPr>
          <w:rFonts w:ascii="PT Astra Serif" w:hAnsi="PT Astra Serif"/>
          <w:sz w:val="28"/>
          <w:szCs w:val="28"/>
        </w:rPr>
        <w:t>маги, права на которые подлежат учету на счетах депо или лицевых счетах, открытых соответственно депоз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тариями или держателями реестра, является запись по таким счетам. Подтверждением внесения записи по указанным счетам является выписка по счету депо или лицевому счету, выдаваемая с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ответственно депозитарием или держателем реестра.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13. Одновременно для графы "Номинальная величина обязательства" подраздела 5.2 раздела 5 справки предусмотрено, что отражается информ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ция о цене, которая опред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 xml:space="preserve">лена эмитентом при выпуске ценной бумаги (при </w:t>
      </w:r>
      <w:r w:rsidRPr="00B2418D">
        <w:rPr>
          <w:rFonts w:ascii="PT Astra Serif" w:hAnsi="PT Astra Serif"/>
          <w:sz w:val="28"/>
          <w:szCs w:val="28"/>
        </w:rPr>
        <w:lastRenderedPageBreak/>
        <w:t>этом 3 отдельные ценные бумаги (инвестиционный пай паевого инвестиц</w:t>
      </w:r>
      <w:r w:rsidRPr="00B2418D">
        <w:rPr>
          <w:rFonts w:ascii="PT Astra Serif" w:hAnsi="PT Astra Serif"/>
          <w:sz w:val="28"/>
          <w:szCs w:val="28"/>
        </w:rPr>
        <w:t>и</w:t>
      </w:r>
      <w:r w:rsidRPr="00B2418D">
        <w:rPr>
          <w:rFonts w:ascii="PT Astra Serif" w:hAnsi="PT Astra Serif"/>
          <w:sz w:val="28"/>
          <w:szCs w:val="28"/>
        </w:rPr>
        <w:t>онного фонда, депозитарные расписки, закладные, ипотечные сертификаты участия, сберегательные се</w:t>
      </w:r>
      <w:r w:rsidRPr="00B2418D">
        <w:rPr>
          <w:rFonts w:ascii="PT Astra Serif" w:hAnsi="PT Astra Serif"/>
          <w:sz w:val="28"/>
          <w:szCs w:val="28"/>
        </w:rPr>
        <w:t>р</w:t>
      </w:r>
      <w:r w:rsidRPr="00B2418D">
        <w:rPr>
          <w:rFonts w:ascii="PT Astra Serif" w:hAnsi="PT Astra Serif"/>
          <w:sz w:val="28"/>
          <w:szCs w:val="28"/>
        </w:rPr>
        <w:t xml:space="preserve">тификаты) не имеют номинальной стоимости; в этой связи данная графа не заполняется).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14. Также в Методических рекомендациях указано, что информация о наличии банковских счетов может быть получена лицом, в отношении кот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 xml:space="preserve">рого представляется справка, у ФНС России.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15. Уточнены условия, при которых не требуется в подразделе 6.1 ра</w:t>
      </w:r>
      <w:r w:rsidRPr="00B2418D">
        <w:rPr>
          <w:rFonts w:ascii="PT Astra Serif" w:hAnsi="PT Astra Serif"/>
          <w:sz w:val="28"/>
          <w:szCs w:val="28"/>
        </w:rPr>
        <w:t>з</w:t>
      </w:r>
      <w:r w:rsidRPr="00B2418D">
        <w:rPr>
          <w:rFonts w:ascii="PT Astra Serif" w:hAnsi="PT Astra Serif"/>
          <w:sz w:val="28"/>
          <w:szCs w:val="28"/>
        </w:rPr>
        <w:t>дела 6 справки одного из супругов указывать все объекты недвижимости, н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ходящиеся в собственности другого супруга (отсутствует фактическое пол</w:t>
      </w:r>
      <w:r w:rsidRPr="00B2418D">
        <w:rPr>
          <w:rFonts w:ascii="PT Astra Serif" w:hAnsi="PT Astra Serif"/>
          <w:sz w:val="28"/>
          <w:szCs w:val="28"/>
        </w:rPr>
        <w:t>ь</w:t>
      </w:r>
      <w:r w:rsidRPr="00B2418D">
        <w:rPr>
          <w:rFonts w:ascii="PT Astra Serif" w:hAnsi="PT Astra Serif"/>
          <w:sz w:val="28"/>
          <w:szCs w:val="28"/>
        </w:rPr>
        <w:t>зование этим объектом супругом и эти объекты указаны в подразделе 3.1 справки одного из супругов (аналоги</w:t>
      </w:r>
      <w:r w:rsidRPr="00B2418D">
        <w:rPr>
          <w:rFonts w:ascii="PT Astra Serif" w:hAnsi="PT Astra Serif"/>
          <w:sz w:val="28"/>
          <w:szCs w:val="28"/>
        </w:rPr>
        <w:t>ч</w:t>
      </w:r>
      <w:r w:rsidRPr="00B2418D">
        <w:rPr>
          <w:rFonts w:ascii="PT Astra Serif" w:hAnsi="PT Astra Serif"/>
          <w:sz w:val="28"/>
          <w:szCs w:val="28"/>
        </w:rPr>
        <w:t xml:space="preserve">но в отношении несовершеннолетних детей)). </w:t>
      </w:r>
    </w:p>
    <w:p w:rsidR="001264D3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16. Также конкретизированы положения о размере обязательства для целей заполнения подраздела 6.2 раздела 6 справки: указывается оставшийся непогашенным долг с суммой процентов, начисленных по состоянию на о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 xml:space="preserve">четную дату, а не до конца периода кредитования. </w:t>
      </w:r>
    </w:p>
    <w:p w:rsidR="001F3852" w:rsidRPr="00B2418D" w:rsidRDefault="00B2418D" w:rsidP="001264D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2418D">
        <w:rPr>
          <w:rFonts w:ascii="PT Astra Serif" w:hAnsi="PT Astra Serif"/>
          <w:sz w:val="28"/>
          <w:szCs w:val="28"/>
        </w:rPr>
        <w:t>17. Методические рекомендации дополнены примерами срочных об</w:t>
      </w:r>
      <w:r w:rsidRPr="00B2418D">
        <w:rPr>
          <w:rFonts w:ascii="PT Astra Serif" w:hAnsi="PT Astra Serif"/>
          <w:sz w:val="28"/>
          <w:szCs w:val="28"/>
        </w:rPr>
        <w:t>я</w:t>
      </w:r>
      <w:r w:rsidRPr="00B2418D">
        <w:rPr>
          <w:rFonts w:ascii="PT Astra Serif" w:hAnsi="PT Astra Serif"/>
          <w:sz w:val="28"/>
          <w:szCs w:val="28"/>
        </w:rPr>
        <w:t>зательств финансового характера, кот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>рые подлежат отражению при наличии обстоятельств (выкупленная дебиторская задолженность финансовые обяз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тельства, участником которой в силу Федерального закона от 23 декабря 2003 г. № 177-ФЗ "О страховании вкладов в банках Российской Федерации" является государственная корпор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ция "Агентство по страхованию вкладов") и не подлежат отражению (договор срочного банковского вклада). 18. В о</w:t>
      </w:r>
      <w:r w:rsidRPr="00B2418D">
        <w:rPr>
          <w:rFonts w:ascii="PT Astra Serif" w:hAnsi="PT Astra Serif"/>
          <w:sz w:val="28"/>
          <w:szCs w:val="28"/>
        </w:rPr>
        <w:t>т</w:t>
      </w:r>
      <w:r w:rsidRPr="00B2418D">
        <w:rPr>
          <w:rFonts w:ascii="PT Astra Serif" w:hAnsi="PT Astra Serif"/>
          <w:sz w:val="28"/>
          <w:szCs w:val="28"/>
        </w:rPr>
        <w:t>ношении подраздела 6.2 раздела 6 справки подробно раскрыт порядок отр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жения обязательств, возникающих в соответствии с Законом Российской Ф</w:t>
      </w:r>
      <w:r w:rsidRPr="00B2418D">
        <w:rPr>
          <w:rFonts w:ascii="PT Astra Serif" w:hAnsi="PT Astra Serif"/>
          <w:sz w:val="28"/>
          <w:szCs w:val="28"/>
        </w:rPr>
        <w:t>е</w:t>
      </w:r>
      <w:r w:rsidRPr="00B2418D">
        <w:rPr>
          <w:rFonts w:ascii="PT Astra Serif" w:hAnsi="PT Astra Serif"/>
          <w:sz w:val="28"/>
          <w:szCs w:val="28"/>
        </w:rPr>
        <w:t>дерации от 27 ноября 1992 года № 4015-1 "Об организации страхового дела в Российской Федерации". 19. Та</w:t>
      </w:r>
      <w:r w:rsidRPr="00B2418D">
        <w:rPr>
          <w:rFonts w:ascii="PT Astra Serif" w:hAnsi="PT Astra Serif"/>
          <w:sz w:val="28"/>
          <w:szCs w:val="28"/>
        </w:rPr>
        <w:t>к</w:t>
      </w:r>
      <w:r w:rsidRPr="00B2418D">
        <w:rPr>
          <w:rFonts w:ascii="PT Astra Serif" w:hAnsi="PT Astra Serif"/>
          <w:sz w:val="28"/>
          <w:szCs w:val="28"/>
        </w:rPr>
        <w:t>же в Методических рекомендациях указано, что к безвозмездной сделке можно отнести договор дарения, согл</w:t>
      </w:r>
      <w:r w:rsidRPr="00B2418D">
        <w:rPr>
          <w:rFonts w:ascii="PT Astra Serif" w:hAnsi="PT Astra Serif"/>
          <w:sz w:val="28"/>
          <w:szCs w:val="28"/>
        </w:rPr>
        <w:t>а</w:t>
      </w:r>
      <w:r w:rsidRPr="00B2418D">
        <w:rPr>
          <w:rFonts w:ascii="PT Astra Serif" w:hAnsi="PT Astra Serif"/>
          <w:sz w:val="28"/>
          <w:szCs w:val="28"/>
        </w:rPr>
        <w:t>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 При этом уничт</w:t>
      </w:r>
      <w:r w:rsidRPr="00B2418D">
        <w:rPr>
          <w:rFonts w:ascii="PT Astra Serif" w:hAnsi="PT Astra Serif"/>
          <w:sz w:val="28"/>
          <w:szCs w:val="28"/>
        </w:rPr>
        <w:t>о</w:t>
      </w:r>
      <w:r w:rsidRPr="00B2418D">
        <w:rPr>
          <w:rFonts w:ascii="PT Astra Serif" w:hAnsi="PT Astra Serif"/>
          <w:sz w:val="28"/>
          <w:szCs w:val="28"/>
        </w:rPr>
        <w:t>женные объекты имущества не подлежат отражению в данном разделе справки. Договор мены не подлежит отражению в данном разделе справки, так как он является возмездным. 20. Положения Методических рекомендаций актуализированы с учетом изменений нормативных правовых актов Росси</w:t>
      </w:r>
      <w:r w:rsidRPr="00B2418D">
        <w:rPr>
          <w:rFonts w:ascii="PT Astra Serif" w:hAnsi="PT Astra Serif"/>
          <w:sz w:val="28"/>
          <w:szCs w:val="28"/>
        </w:rPr>
        <w:t>й</w:t>
      </w:r>
      <w:r w:rsidRPr="00B2418D">
        <w:rPr>
          <w:rFonts w:ascii="PT Astra Serif" w:hAnsi="PT Astra Serif"/>
          <w:sz w:val="28"/>
          <w:szCs w:val="28"/>
        </w:rPr>
        <w:t>ской Федерации.</w:t>
      </w:r>
    </w:p>
    <w:sectPr w:rsidR="001F3852" w:rsidRPr="00B2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B2418D"/>
    <w:rsid w:val="001264D3"/>
    <w:rsid w:val="001F3852"/>
    <w:rsid w:val="00B2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LarinaEV</dc:creator>
  <cp:keywords/>
  <dc:description/>
  <cp:lastModifiedBy>LarinaEV</cp:lastModifiedBy>
  <cp:revision>3</cp:revision>
  <dcterms:created xsi:type="dcterms:W3CDTF">2020-01-29T09:44:00Z</dcterms:created>
  <dcterms:modified xsi:type="dcterms:W3CDTF">2020-01-29T09:50:00Z</dcterms:modified>
</cp:coreProperties>
</file>